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3712FB" w14:textId="0703E98E" w:rsidR="00A36C30" w:rsidRDefault="00A36C30" w:rsidP="00F00135">
      <w:pPr>
        <w:jc w:val="center"/>
        <w:rPr>
          <w:b/>
          <w:bCs/>
        </w:rPr>
      </w:pPr>
      <w:r>
        <w:rPr>
          <w:b/>
          <w:bCs/>
          <w:noProof/>
          <w14:ligatures w14:val="standardContextual"/>
        </w:rPr>
        <w:drawing>
          <wp:inline distT="0" distB="0" distL="0" distR="0" wp14:anchorId="3C238EFB" wp14:editId="2109522F">
            <wp:extent cx="3276600" cy="954005"/>
            <wp:effectExtent l="0" t="0" r="0" b="0"/>
            <wp:docPr id="24921092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210925" name="Image 249210925"/>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03784" cy="961920"/>
                    </a:xfrm>
                    <a:prstGeom prst="rect">
                      <a:avLst/>
                    </a:prstGeom>
                  </pic:spPr>
                </pic:pic>
              </a:graphicData>
            </a:graphic>
          </wp:inline>
        </w:drawing>
      </w:r>
    </w:p>
    <w:p w14:paraId="7A4983B9" w14:textId="77777777" w:rsidR="00A36C30" w:rsidRDefault="00A36C30" w:rsidP="00F00135">
      <w:pPr>
        <w:jc w:val="center"/>
        <w:rPr>
          <w:b/>
          <w:bCs/>
        </w:rPr>
      </w:pPr>
    </w:p>
    <w:p w14:paraId="06C945AF" w14:textId="1BDFF869" w:rsidR="00F00135" w:rsidRDefault="00F00135" w:rsidP="00F00135">
      <w:pPr>
        <w:jc w:val="center"/>
        <w:rPr>
          <w:b/>
          <w:bCs/>
        </w:rPr>
      </w:pPr>
      <w:r>
        <w:rPr>
          <w:b/>
          <w:bCs/>
        </w:rPr>
        <w:t>Texte pour servir de base à l’Atelier de recherche</w:t>
      </w:r>
    </w:p>
    <w:p w14:paraId="1A0A8839" w14:textId="77777777" w:rsidR="00C95E24" w:rsidRDefault="00C95E24" w:rsidP="00F00135">
      <w:pPr>
        <w:jc w:val="center"/>
        <w:rPr>
          <w:b/>
          <w:bCs/>
        </w:rPr>
      </w:pPr>
    </w:p>
    <w:p w14:paraId="4D46E13B" w14:textId="50F4DBE7" w:rsidR="00C95E24" w:rsidRPr="00C95E24" w:rsidRDefault="00C95E24" w:rsidP="00F00135">
      <w:pPr>
        <w:jc w:val="center"/>
        <w:rPr>
          <w:b/>
          <w:bCs/>
          <w:sz w:val="32"/>
          <w:szCs w:val="32"/>
        </w:rPr>
      </w:pPr>
      <w:r w:rsidRPr="00E37333">
        <w:rPr>
          <w:b/>
          <w:bCs/>
          <w:sz w:val="32"/>
          <w:szCs w:val="32"/>
        </w:rPr>
        <w:t>Droit et empiricité</w:t>
      </w:r>
      <w:r w:rsidR="00E37333">
        <w:rPr>
          <w:b/>
          <w:bCs/>
          <w:sz w:val="32"/>
          <w:szCs w:val="32"/>
        </w:rPr>
        <w:t> </w:t>
      </w:r>
      <w:r w:rsidRPr="00E37333">
        <w:rPr>
          <w:b/>
          <w:bCs/>
          <w:sz w:val="32"/>
          <w:szCs w:val="32"/>
        </w:rPr>
        <w:t>: un bouleversement ?</w:t>
      </w:r>
    </w:p>
    <w:p w14:paraId="7282F4C2" w14:textId="46543A62" w:rsidR="00F00135" w:rsidRDefault="00F00135" w:rsidP="00C95E24">
      <w:pPr>
        <w:rPr>
          <w:b/>
          <w:bCs/>
        </w:rPr>
      </w:pPr>
    </w:p>
    <w:p w14:paraId="56D553A3" w14:textId="1ACF80EA" w:rsidR="00F00135" w:rsidRDefault="00E37333" w:rsidP="00F00135">
      <w:pPr>
        <w:jc w:val="center"/>
      </w:pPr>
      <w:r>
        <w:t>Centre de Théorie et Analyse du Droit</w:t>
      </w:r>
    </w:p>
    <w:p w14:paraId="50F680B6" w14:textId="77777777" w:rsidR="00F00135" w:rsidRDefault="00F00135" w:rsidP="00F00135">
      <w:pPr>
        <w:jc w:val="center"/>
      </w:pPr>
      <w:r>
        <w:t>1</w:t>
      </w:r>
      <w:r w:rsidRPr="004E6FAE">
        <w:rPr>
          <w:vertAlign w:val="superscript"/>
        </w:rPr>
        <w:t>er</w:t>
      </w:r>
      <w:r>
        <w:t xml:space="preserve"> octobre 2026</w:t>
      </w:r>
    </w:p>
    <w:p w14:paraId="1BB4A08F" w14:textId="77777777" w:rsidR="00F00135" w:rsidRDefault="00F00135" w:rsidP="00F00135">
      <w:pPr>
        <w:jc w:val="center"/>
      </w:pPr>
      <w:r>
        <w:t>Université Paris Nanterre</w:t>
      </w:r>
    </w:p>
    <w:p w14:paraId="7B804AA3" w14:textId="77777777" w:rsidR="00F00135" w:rsidRDefault="00F00135" w:rsidP="00F00135"/>
    <w:p w14:paraId="28C8370A" w14:textId="2D6F723C" w:rsidR="00BD57DD" w:rsidRPr="00E37333" w:rsidRDefault="00F00135" w:rsidP="00F00135">
      <w:pPr>
        <w:jc w:val="both"/>
      </w:pPr>
      <w:r w:rsidRPr="00E37333">
        <w:t xml:space="preserve">Le Centre de Théorie et Analyse du Droit (CTAD, UMR 7074, CNRS – Université Paris Nanterre-ENS), équipe </w:t>
      </w:r>
      <w:proofErr w:type="spellStart"/>
      <w:r w:rsidRPr="00E37333">
        <w:t>ThéorHis</w:t>
      </w:r>
      <w:proofErr w:type="spellEnd"/>
      <w:r w:rsidRPr="00E37333">
        <w:t>, organise le jeudi 1</w:t>
      </w:r>
      <w:r w:rsidRPr="00E37333">
        <w:rPr>
          <w:vertAlign w:val="superscript"/>
        </w:rPr>
        <w:t>er</w:t>
      </w:r>
      <w:r w:rsidRPr="00E37333">
        <w:t xml:space="preserve"> octobre 2026 un atelier de recherche autour de la question droit et sciences sociales, avec la participation de Frédéric Audren, Julien Bétaille, Anne-Sophie Chambost, Laurence Dumoulin, Baudouin Dupret</w:t>
      </w:r>
      <w:r w:rsidR="007E23ED" w:rsidRPr="00E37333">
        <w:t xml:space="preserve"> et</w:t>
      </w:r>
      <w:r w:rsidRPr="00E37333">
        <w:t xml:space="preserve"> Evelyne Serverin. Le présent texte est destiné à présenter</w:t>
      </w:r>
      <w:r w:rsidR="00BD57DD" w:rsidRPr="00E37333">
        <w:t xml:space="preserve"> aux intervenant</w:t>
      </w:r>
      <w:r w:rsidR="00467F21" w:rsidRPr="00E37333">
        <w:t>.e</w:t>
      </w:r>
      <w:r w:rsidR="00BD57DD" w:rsidRPr="00E37333">
        <w:t>s invité</w:t>
      </w:r>
      <w:r w:rsidR="00467F21" w:rsidRPr="00E37333">
        <w:t>.e</w:t>
      </w:r>
      <w:r w:rsidR="00BD57DD" w:rsidRPr="00E37333">
        <w:t>s</w:t>
      </w:r>
      <w:r w:rsidRPr="00E37333">
        <w:t xml:space="preserve"> nos interrogations et nos attentes pour ce séminaire.</w:t>
      </w:r>
      <w:r w:rsidR="00BD57DD" w:rsidRPr="00E37333">
        <w:t xml:space="preserve"> Il </w:t>
      </w:r>
      <w:r w:rsidR="00467F21" w:rsidRPr="00E37333">
        <w:t xml:space="preserve">expose </w:t>
      </w:r>
      <w:r w:rsidR="00BD57DD" w:rsidRPr="00E37333">
        <w:t xml:space="preserve">des </w:t>
      </w:r>
      <w:r w:rsidR="001D6EEF" w:rsidRPr="00E37333">
        <w:t xml:space="preserve">thèses </w:t>
      </w:r>
      <w:r w:rsidR="00BD57DD" w:rsidRPr="00E37333">
        <w:t xml:space="preserve">qui ont pu être </w:t>
      </w:r>
      <w:r w:rsidR="001D6EEF" w:rsidRPr="00E37333">
        <w:t xml:space="preserve">développées au sein du </w:t>
      </w:r>
      <w:r w:rsidR="00BD57DD" w:rsidRPr="00E37333">
        <w:t>laboratoire</w:t>
      </w:r>
      <w:r w:rsidR="001D6EEF" w:rsidRPr="00E37333">
        <w:t xml:space="preserve">. </w:t>
      </w:r>
      <w:r w:rsidR="001D6EEF" w:rsidRPr="00E37333">
        <w:rPr>
          <w:i/>
          <w:iCs/>
        </w:rPr>
        <w:t>A contrario</w:t>
      </w:r>
      <w:r w:rsidR="001D6EEF" w:rsidRPr="00E37333">
        <w:t>,</w:t>
      </w:r>
      <w:r w:rsidR="00BD57DD" w:rsidRPr="00E37333">
        <w:t xml:space="preserve"> il n’entend </w:t>
      </w:r>
      <w:r w:rsidR="001D6EEF" w:rsidRPr="00E37333">
        <w:t xml:space="preserve">ni </w:t>
      </w:r>
      <w:r w:rsidR="00BD57DD" w:rsidRPr="00E37333">
        <w:t>figer une position du Centre de recherche en tant que tel</w:t>
      </w:r>
      <w:r w:rsidR="001D6EEF" w:rsidRPr="00E37333">
        <w:t>, ni négliger la pluralité des points de vue parmi ses membres</w:t>
      </w:r>
      <w:r w:rsidR="00BD57DD" w:rsidRPr="00E37333">
        <w:t>.</w:t>
      </w:r>
      <w:r w:rsidR="003903DB" w:rsidRPr="00E37333">
        <w:t xml:space="preserve"> Il n’est donc pas un texte définitif mais une trame provisoire pour amorcer la discussion</w:t>
      </w:r>
      <w:r w:rsidR="00BD57DD" w:rsidRPr="00E37333">
        <w:t>.</w:t>
      </w:r>
    </w:p>
    <w:p w14:paraId="73BC2641" w14:textId="77777777" w:rsidR="00F00135" w:rsidRPr="00E37333" w:rsidRDefault="00F00135" w:rsidP="00F00135">
      <w:pPr>
        <w:jc w:val="both"/>
      </w:pPr>
    </w:p>
    <w:p w14:paraId="141486CC" w14:textId="31560E80" w:rsidR="00F00135" w:rsidRDefault="00F00135" w:rsidP="00F00135">
      <w:pPr>
        <w:jc w:val="both"/>
        <w:rPr>
          <w:b/>
          <w:bCs/>
        </w:rPr>
      </w:pPr>
      <w:r w:rsidRPr="00E37333">
        <w:rPr>
          <w:b/>
          <w:bCs/>
        </w:rPr>
        <w:t>I –</w:t>
      </w:r>
      <w:r w:rsidR="005F689E" w:rsidRPr="00E37333">
        <w:rPr>
          <w:b/>
          <w:bCs/>
        </w:rPr>
        <w:t>Les principales thèses développées au sein du CTAD</w:t>
      </w:r>
    </w:p>
    <w:p w14:paraId="72840B42" w14:textId="77777777" w:rsidR="00F00135" w:rsidRDefault="00F00135" w:rsidP="00F00135">
      <w:pPr>
        <w:jc w:val="both"/>
      </w:pPr>
    </w:p>
    <w:p w14:paraId="4EB0EA4C" w14:textId="77777777" w:rsidR="00F00135" w:rsidRDefault="00F00135" w:rsidP="00F00135">
      <w:pPr>
        <w:jc w:val="both"/>
      </w:pPr>
      <w:r>
        <w:t xml:space="preserve">Le CTAD occupe une place singulière dans la recherche collective en théorie du droit : il entend être davantage qu’un lieu de recherche sur la théorie du droit pour être également un lieu de production d’une théorie originale. A cet effet, une majorité de chercheurs du Centre travaille dans un cadre méthodologique et épistémologique qui ne peut faire l’économie de penser les relations entre la science du droit et les sciences sociales. </w:t>
      </w:r>
    </w:p>
    <w:p w14:paraId="74194118" w14:textId="0D25EB13" w:rsidR="00F00135" w:rsidRPr="00C16213" w:rsidRDefault="00F00135" w:rsidP="00F00135">
      <w:pPr>
        <w:jc w:val="both"/>
      </w:pPr>
      <w:r>
        <w:t>Ce cadre peut être défini par l’acceptation de plusieurs thèses, qui ont été formulées au sein du Centre (</w:t>
      </w:r>
      <w:r w:rsidRPr="00C16213">
        <w:t>depuis Michel Troper) ou en travaillant avec d’autres théoriciens assumant des positions propres (</w:t>
      </w:r>
      <w:r w:rsidR="00BD57DD" w:rsidRPr="00C16213">
        <w:t>notamment l’</w:t>
      </w:r>
      <w:r w:rsidRPr="00C16213">
        <w:t xml:space="preserve">Institut </w:t>
      </w:r>
      <w:proofErr w:type="spellStart"/>
      <w:r w:rsidRPr="00C16213">
        <w:t>Tarello</w:t>
      </w:r>
      <w:proofErr w:type="spellEnd"/>
      <w:r w:rsidRPr="00C16213">
        <w:t xml:space="preserve"> de Gênes). Elles ont pu évoluer et être investies, critiquées et remaniées </w:t>
      </w:r>
      <w:r w:rsidR="00BD57DD" w:rsidRPr="00C16213">
        <w:t xml:space="preserve">différemment </w:t>
      </w:r>
      <w:r w:rsidRPr="00C16213">
        <w:t>dans les travaux de chacun des membres du CTAD.</w:t>
      </w:r>
    </w:p>
    <w:p w14:paraId="07E32D9C" w14:textId="77777777" w:rsidR="00F00135" w:rsidRPr="00C16213" w:rsidRDefault="00F00135" w:rsidP="00F00135">
      <w:pPr>
        <w:jc w:val="both"/>
      </w:pPr>
    </w:p>
    <w:p w14:paraId="31595EC3" w14:textId="448F459D" w:rsidR="00F00135" w:rsidRPr="00C16213" w:rsidRDefault="00F00135" w:rsidP="00F00135">
      <w:pPr>
        <w:jc w:val="both"/>
      </w:pPr>
      <w:r w:rsidRPr="00C16213">
        <w:tab/>
        <w:t>a)</w:t>
      </w:r>
      <w:r w:rsidRPr="00C16213">
        <w:rPr>
          <w:b/>
          <w:bCs/>
        </w:rPr>
        <w:t xml:space="preserve"> L’adhésion à une conception épistémologique et méthodologique dite positiviste de la science,</w:t>
      </w:r>
      <w:r w:rsidRPr="00C16213">
        <w:t xml:space="preserve"> en particulier de la science du droit, dans la lignée de l’approche </w:t>
      </w:r>
      <w:proofErr w:type="spellStart"/>
      <w:r w:rsidRPr="00C16213">
        <w:t>kelsénio-weberienne</w:t>
      </w:r>
      <w:proofErr w:type="spellEnd"/>
      <w:r w:rsidRPr="00C16213">
        <w:t xml:space="preserve">, complétée notamment par Bobbio. Celle-ci repose sur : </w:t>
      </w:r>
    </w:p>
    <w:p w14:paraId="4C95354F" w14:textId="77777777" w:rsidR="00F00135" w:rsidRPr="00C16213" w:rsidRDefault="00F00135" w:rsidP="00F00135">
      <w:pPr>
        <w:jc w:val="both"/>
      </w:pPr>
    </w:p>
    <w:p w14:paraId="132AE2B5" w14:textId="0C2DE64B" w:rsidR="00F00135" w:rsidRDefault="00F00135" w:rsidP="002F7AC0">
      <w:pPr>
        <w:ind w:firstLine="708"/>
        <w:jc w:val="both"/>
      </w:pPr>
      <w:r w:rsidRPr="00C16213">
        <w:t xml:space="preserve">- la distinction entre la science du droit et son objet, </w:t>
      </w:r>
      <w:r w:rsidR="00BD57DD" w:rsidRPr="00C16213">
        <w:t xml:space="preserve">à savoir </w:t>
      </w:r>
      <w:r w:rsidRPr="00C16213">
        <w:t>le</w:t>
      </w:r>
      <w:r>
        <w:t xml:space="preserve"> droit. La science du droit décrit et, autant que possible, explique son objet. </w:t>
      </w:r>
    </w:p>
    <w:p w14:paraId="6F47E669" w14:textId="082B1EC3" w:rsidR="00F00135" w:rsidRDefault="00F00135" w:rsidP="002F7AC0">
      <w:pPr>
        <w:ind w:firstLine="708"/>
        <w:jc w:val="both"/>
      </w:pPr>
      <w:r>
        <w:t xml:space="preserve">- l’idée que </w:t>
      </w:r>
      <w:r w:rsidR="00BD57DD">
        <w:t xml:space="preserve">le </w:t>
      </w:r>
      <w:r>
        <w:t>droit est un phénomène social normatif qui doit être décrit tel qu’il est, indépendamment d’une évaluation, notamment morale ou politique.</w:t>
      </w:r>
    </w:p>
    <w:p w14:paraId="345F2DE0" w14:textId="77777777" w:rsidR="00F00135" w:rsidRDefault="00F00135" w:rsidP="00F00135">
      <w:pPr>
        <w:jc w:val="both"/>
      </w:pPr>
    </w:p>
    <w:p w14:paraId="426FBB39" w14:textId="77777777" w:rsidR="00F00135" w:rsidRDefault="00F00135" w:rsidP="00F00135">
      <w:pPr>
        <w:jc w:val="both"/>
      </w:pPr>
      <w:r>
        <w:lastRenderedPageBreak/>
        <w:tab/>
        <w:t xml:space="preserve">b) </w:t>
      </w:r>
      <w:r>
        <w:rPr>
          <w:b/>
          <w:bCs/>
        </w:rPr>
        <w:t>Une conception de la théorie et de la science du droit reposant sur un héritage critique du positivisme logique</w:t>
      </w:r>
      <w:r>
        <w:t> :</w:t>
      </w:r>
    </w:p>
    <w:p w14:paraId="536E532C" w14:textId="77777777" w:rsidR="00F00135" w:rsidRDefault="00F00135" w:rsidP="00F00135">
      <w:pPr>
        <w:jc w:val="both"/>
      </w:pPr>
    </w:p>
    <w:p w14:paraId="4A79942D" w14:textId="099B6195" w:rsidR="00F00135" w:rsidRDefault="00F00135" w:rsidP="002F7AC0">
      <w:pPr>
        <w:ind w:firstLine="708"/>
        <w:jc w:val="both"/>
      </w:pPr>
      <w:r>
        <w:t xml:space="preserve">- la théorie du droit est une activité analytique riche et complexe comportant un volet axiologique (une philosophie analytique de la justice), un volet épistémologique (une théorie de la science du droit) et un volet méthodologique (une analyse critique des méthodes </w:t>
      </w:r>
      <w:r w:rsidRPr="00E37333">
        <w:t>des juristes</w:t>
      </w:r>
      <w:r w:rsidR="00587663" w:rsidRPr="00E37333">
        <w:t xml:space="preserve"> qui pratiquent la recherche sur le droit</w:t>
      </w:r>
      <w:r>
        <w:t>).</w:t>
      </w:r>
    </w:p>
    <w:p w14:paraId="35367058" w14:textId="77777777" w:rsidR="00F00135" w:rsidRDefault="00F00135" w:rsidP="002F7AC0">
      <w:pPr>
        <w:ind w:firstLine="708"/>
        <w:jc w:val="both"/>
      </w:pPr>
      <w:r>
        <w:t>- la science du droit ne présente pas d’originalité épistémologique par rapport aux autres sciences, et se conçoit donc comme une science sociale particulière (en distance ici avec la conception de la science du droit comme science normative défendue un moment par Kelsen) à raison de son objet mais non de son épistémologie (héritage critique du positivisme logique).</w:t>
      </w:r>
    </w:p>
    <w:p w14:paraId="0480AC53" w14:textId="77777777" w:rsidR="00F00135" w:rsidRDefault="00F00135" w:rsidP="00F00135">
      <w:pPr>
        <w:jc w:val="both"/>
      </w:pPr>
    </w:p>
    <w:p w14:paraId="575FA326" w14:textId="77777777" w:rsidR="00F00135" w:rsidRDefault="00F00135" w:rsidP="00F00135">
      <w:pPr>
        <w:jc w:val="both"/>
      </w:pPr>
      <w:r>
        <w:tab/>
        <w:t xml:space="preserve">c) </w:t>
      </w:r>
      <w:r>
        <w:rPr>
          <w:b/>
          <w:bCs/>
        </w:rPr>
        <w:t xml:space="preserve">Une conception empiriste de la science du droit caractérisant le réalisme juridique </w:t>
      </w:r>
      <w:r>
        <w:t xml:space="preserve">: </w:t>
      </w:r>
    </w:p>
    <w:p w14:paraId="0B02CF16" w14:textId="77777777" w:rsidR="00F00135" w:rsidRDefault="00F00135" w:rsidP="00F00135">
      <w:pPr>
        <w:jc w:val="both"/>
      </w:pPr>
    </w:p>
    <w:p w14:paraId="05CF3026" w14:textId="66FB9960" w:rsidR="00F00135" w:rsidRPr="00E37333" w:rsidRDefault="00F00135" w:rsidP="00F00135">
      <w:pPr>
        <w:ind w:firstLine="720"/>
        <w:jc w:val="both"/>
      </w:pPr>
      <w:r>
        <w:t xml:space="preserve">- la description du droit par la science du droit repose sur la description du droit tel qu’il existe et non tel qu’il </w:t>
      </w:r>
      <w:r w:rsidR="002F7AC0">
        <w:t>« </w:t>
      </w:r>
      <w:r>
        <w:t>devrait être</w:t>
      </w:r>
      <w:r w:rsidR="002F7AC0">
        <w:t> »</w:t>
      </w:r>
      <w:r>
        <w:t xml:space="preserve">. Cela implique un réductionnisme empirique, et notamment une conception </w:t>
      </w:r>
      <w:r w:rsidRPr="00E37333">
        <w:t xml:space="preserve">expressive de son objet, les normes. La science du droit porte sur les normes, entendues ici comme la signification </w:t>
      </w:r>
      <w:r w:rsidR="00BD57DD" w:rsidRPr="00E37333">
        <w:t>qu’</w:t>
      </w:r>
      <w:r w:rsidRPr="00E37333">
        <w:t xml:space="preserve">une autorité compétente </w:t>
      </w:r>
      <w:r w:rsidR="00BD57DD" w:rsidRPr="00E37333">
        <w:t xml:space="preserve">donne à un texte </w:t>
      </w:r>
      <w:r w:rsidRPr="00E37333">
        <w:t xml:space="preserve">pour l’interpréter. </w:t>
      </w:r>
    </w:p>
    <w:p w14:paraId="7876DB46" w14:textId="61F3D815" w:rsidR="00F00135" w:rsidRPr="00E37333" w:rsidRDefault="00F00135" w:rsidP="00F00135">
      <w:pPr>
        <w:ind w:firstLine="720"/>
        <w:jc w:val="both"/>
      </w:pPr>
      <w:r w:rsidRPr="00E37333">
        <w:t xml:space="preserve">- cette interprétation est une fonction de </w:t>
      </w:r>
      <w:r w:rsidR="002F7AC0" w:rsidRPr="00E37333">
        <w:t xml:space="preserve">la </w:t>
      </w:r>
      <w:r w:rsidRPr="00E37333">
        <w:t xml:space="preserve">volonté. </w:t>
      </w:r>
    </w:p>
    <w:p w14:paraId="02C6F27C" w14:textId="3D550165" w:rsidR="00F00135" w:rsidRPr="00E37333" w:rsidRDefault="00F00135" w:rsidP="00F00135">
      <w:pPr>
        <w:ind w:firstLine="720"/>
        <w:jc w:val="both"/>
      </w:pPr>
      <w:r w:rsidRPr="00E37333">
        <w:t xml:space="preserve">- une conception empiriste de la science du droit lui assigne la fonction de </w:t>
      </w:r>
      <w:r w:rsidR="00CB38EF" w:rsidRPr="00E37333">
        <w:t xml:space="preserve">décrire </w:t>
      </w:r>
      <w:r w:rsidRPr="00E37333">
        <w:t>empirique</w:t>
      </w:r>
      <w:r w:rsidR="00CB38EF" w:rsidRPr="00E37333">
        <w:t>ment</w:t>
      </w:r>
      <w:r w:rsidRPr="00E37333">
        <w:t xml:space="preserve"> des interprétations effectivement produite</w:t>
      </w:r>
      <w:r w:rsidR="002F7AC0" w:rsidRPr="00E37333">
        <w:t>s</w:t>
      </w:r>
      <w:r w:rsidRPr="00E37333">
        <w:t xml:space="preserve"> et choisie</w:t>
      </w:r>
      <w:r w:rsidR="002F7AC0" w:rsidRPr="00E37333">
        <w:t>s</w:t>
      </w:r>
      <w:r w:rsidRPr="00E37333">
        <w:t xml:space="preserve"> par les autorités normatives, autrement dit de décrire les normes en vigueur. </w:t>
      </w:r>
    </w:p>
    <w:p w14:paraId="3950B63B" w14:textId="4D770D2E" w:rsidR="00F00135" w:rsidRPr="00045FAA" w:rsidRDefault="00F00135" w:rsidP="00045FAA">
      <w:pPr>
        <w:ind w:firstLine="720"/>
        <w:jc w:val="both"/>
      </w:pPr>
      <w:r w:rsidRPr="00E37333">
        <w:t xml:space="preserve">- à ce travail descriptif, la théorie réaliste de l’interprétation développée </w:t>
      </w:r>
      <w:r w:rsidR="005F689E" w:rsidRPr="00E37333">
        <w:t>par Michel Troper</w:t>
      </w:r>
      <w:r w:rsidR="002F7AC0" w:rsidRPr="00E37333">
        <w:t xml:space="preserve"> </w:t>
      </w:r>
      <w:r w:rsidRPr="00E37333">
        <w:t>associe une démarche de type explicati</w:t>
      </w:r>
      <w:r w:rsidR="002F7AC0" w:rsidRPr="00E37333">
        <w:t>f</w:t>
      </w:r>
      <w:r w:rsidRPr="00E37333">
        <w:t xml:space="preserve"> visant à saisir les facteurs qui conduisent les autorités normatives</w:t>
      </w:r>
      <w:r w:rsidR="002F7AC0" w:rsidRPr="00E37333">
        <w:t xml:space="preserve"> –</w:t>
      </w:r>
      <w:r w:rsidRPr="00E37333">
        <w:t xml:space="preserve"> mais aussi plus largement les autres acteurs du droit (englobant ainsi toutes celles et ceux qui produisent des normes juridiques ou prétendent </w:t>
      </w:r>
      <w:r w:rsidR="00DA54D6" w:rsidRPr="00E37333">
        <w:t xml:space="preserve">avoir des effets </w:t>
      </w:r>
      <w:r w:rsidRPr="00E37333">
        <w:t>sur cette production)</w:t>
      </w:r>
      <w:r w:rsidR="002F7AC0" w:rsidRPr="00E37333">
        <w:t xml:space="preserve"> –</w:t>
      </w:r>
      <w:r w:rsidRPr="00E37333">
        <w:t xml:space="preserve"> à opter pour une interprétation plutôt qu’une autre. </w:t>
      </w:r>
      <w:r w:rsidR="00045FAA" w:rsidRPr="00E37333">
        <w:t xml:space="preserve">Tel </w:t>
      </w:r>
      <w:r w:rsidRPr="00E37333">
        <w:t xml:space="preserve">est l’objet de la théorie des contraintes juridiques. </w:t>
      </w:r>
      <w:r w:rsidR="00C16213" w:rsidRPr="00E37333">
        <w:t xml:space="preserve">Comme </w:t>
      </w:r>
      <w:r w:rsidRPr="00E37333">
        <w:t xml:space="preserve">cette théorie entend saisir les pratiques d’acteurs, les </w:t>
      </w:r>
      <w:r>
        <w:rPr>
          <w:highlight w:val="white"/>
        </w:rPr>
        <w:t>interpréter et les expliquer, elle peut ici dialoguer avec d’autres démarches empiriques, notamment en ce que celles-ci produisent des données ou procèdent à des rapprochements et corrélations de données, qui se présentent comme des outils descriptifs de pratiques. Ces outils peuvent également être mobilisés dans une perspective explicative de ces pratiques.</w:t>
      </w:r>
    </w:p>
    <w:p w14:paraId="686BCB00" w14:textId="77777777" w:rsidR="00F00135" w:rsidRDefault="00F00135" w:rsidP="00F00135">
      <w:pPr>
        <w:jc w:val="both"/>
        <w:rPr>
          <w:highlight w:val="yellow"/>
        </w:rPr>
      </w:pPr>
    </w:p>
    <w:p w14:paraId="0A57A97A" w14:textId="7C189DAE" w:rsidR="00F00135" w:rsidRDefault="00F00135" w:rsidP="00F00135">
      <w:pPr>
        <w:jc w:val="both"/>
        <w:rPr>
          <w:b/>
          <w:bCs/>
          <w:highlight w:val="white"/>
        </w:rPr>
      </w:pPr>
      <w:r>
        <w:tab/>
      </w:r>
      <w:r>
        <w:rPr>
          <w:b/>
          <w:bCs/>
          <w:highlight w:val="white"/>
        </w:rPr>
        <w:t xml:space="preserve">d) Une conception de la science du droit comme science sociale </w:t>
      </w:r>
      <w:r w:rsidR="00045FAA">
        <w:rPr>
          <w:b/>
          <w:bCs/>
          <w:highlight w:val="white"/>
        </w:rPr>
        <w:t>« </w:t>
      </w:r>
      <w:r>
        <w:rPr>
          <w:b/>
          <w:bCs/>
          <w:highlight w:val="white"/>
        </w:rPr>
        <w:t>spécifique</w:t>
      </w:r>
      <w:r w:rsidR="00045FAA">
        <w:rPr>
          <w:b/>
          <w:bCs/>
          <w:highlight w:val="white"/>
        </w:rPr>
        <w:t> »,</w:t>
      </w:r>
      <w:r>
        <w:rPr>
          <w:b/>
          <w:bCs/>
          <w:highlight w:val="white"/>
        </w:rPr>
        <w:t xml:space="preserve"> à la suite de Kelsen ou de Troper </w:t>
      </w:r>
    </w:p>
    <w:p w14:paraId="600D6511" w14:textId="77777777" w:rsidR="00F00135" w:rsidRDefault="00F00135" w:rsidP="00F00135">
      <w:pPr>
        <w:jc w:val="both"/>
        <w:rPr>
          <w:highlight w:val="white"/>
        </w:rPr>
      </w:pPr>
    </w:p>
    <w:p w14:paraId="7CEB1C68" w14:textId="0361C5E2" w:rsidR="00F00135" w:rsidRPr="00E37333" w:rsidRDefault="00F00135" w:rsidP="00F00135">
      <w:pPr>
        <w:jc w:val="both"/>
      </w:pPr>
      <w:r>
        <w:rPr>
          <w:highlight w:val="white"/>
        </w:rPr>
        <w:tab/>
        <w:t xml:space="preserve">Dans un premier temps, préoccupé par la volonté d'autonomiser une science du droit </w:t>
      </w:r>
      <w:r w:rsidRPr="00E37333">
        <w:t>spécifique aux juristes</w:t>
      </w:r>
      <w:r w:rsidR="00587663" w:rsidRPr="00E37333">
        <w:t xml:space="preserve"> engagés dans la recherche sur le droit</w:t>
      </w:r>
      <w:r w:rsidRPr="00E37333">
        <w:t xml:space="preserve"> </w:t>
      </w:r>
      <w:r w:rsidR="00045FAA" w:rsidRPr="00E37333">
        <w:t>–</w:t>
      </w:r>
      <w:r w:rsidRPr="00E37333">
        <w:t xml:space="preserve"> une science juridique du droit </w:t>
      </w:r>
      <w:r w:rsidR="00045FAA" w:rsidRPr="00E37333">
        <w:t>–</w:t>
      </w:r>
      <w:r w:rsidRPr="00E37333">
        <w:t xml:space="preserve"> </w:t>
      </w:r>
      <w:r w:rsidR="00C16213" w:rsidRPr="00E37333">
        <w:t xml:space="preserve">vis-à-vis </w:t>
      </w:r>
      <w:r w:rsidRPr="00E37333">
        <w:t xml:space="preserve">des sciences sociales et de la sociologie naissante, Kelsen a défendu le caractère </w:t>
      </w:r>
      <w:r w:rsidR="00045FAA" w:rsidRPr="00E37333">
        <w:t>« </w:t>
      </w:r>
      <w:r w:rsidRPr="00E37333">
        <w:t>normatif</w:t>
      </w:r>
      <w:r w:rsidR="00045FAA" w:rsidRPr="00E37333">
        <w:t> »</w:t>
      </w:r>
      <w:r w:rsidRPr="00E37333">
        <w:t xml:space="preserve"> de celle-ci. La science du droit conçue comme science normative n’est entièrement réductible ni aux sciences sociales, ni aux sciences physiques et de la nature, notamment en ce qu’elle est supposée décrire non pas des faits vrais ou vérifiables mais des normes valides et qu’elle établit des rapports</w:t>
      </w:r>
      <w:r w:rsidR="00045FAA" w:rsidRPr="00E37333">
        <w:t xml:space="preserve"> </w:t>
      </w:r>
      <w:r w:rsidRPr="00E37333">
        <w:t xml:space="preserve">non pas de causalité mais d’imputation. Après son installation aux Etats-Unis et la lecture des auteurs animant le </w:t>
      </w:r>
      <w:r w:rsidRPr="00E37333">
        <w:lastRenderedPageBreak/>
        <w:t>courant réaliste, Kelsen abandonnera progressivement cette conception de la science du droit pour la considérer</w:t>
      </w:r>
      <w:r w:rsidR="00045FAA" w:rsidRPr="00E37333">
        <w:t xml:space="preserve"> finalement</w:t>
      </w:r>
      <w:r w:rsidRPr="00E37333">
        <w:t xml:space="preserve"> comme une science sociale. </w:t>
      </w:r>
    </w:p>
    <w:p w14:paraId="62ADBCD0" w14:textId="71ACF1D2" w:rsidR="00F00135" w:rsidRDefault="00F00135" w:rsidP="00F00135">
      <w:pPr>
        <w:ind w:firstLine="720"/>
        <w:jc w:val="both"/>
      </w:pPr>
      <w:r w:rsidRPr="00E37333">
        <w:t xml:space="preserve">Reste néanmoins l’idée, soutenue ensuite par Charles Eisenmann et Michel Troper que parmi les sciences sociales se donnant le droit pour objet (sociologie, anthropologie, histoire, éventuellement psychologie et économie, etc.), une science du droit spécifique doit être développée comme science juridique du droit. Cette dernière ne constitue pas nécessairement une science du droit </w:t>
      </w:r>
      <w:r w:rsidRPr="00E37333">
        <w:rPr>
          <w:i/>
          <w:iCs/>
        </w:rPr>
        <w:t>des juristes</w:t>
      </w:r>
      <w:r w:rsidR="00587663" w:rsidRPr="00E37333">
        <w:t xml:space="preserve"> qui mènent des recherches sur le droit</w:t>
      </w:r>
      <w:r w:rsidR="00587663">
        <w:t> </w:t>
      </w:r>
      <w:r>
        <w:t xml:space="preserve">: cette science est pratiquée de manière minoritaire chez les juristes, qui pour l’essentiel soit se désintéressent de la question scientifique, soit mobilisent des conceptions concurrentes de cette science. En outre, cette appellation n’implique ni un monopole des juristes sur le travail scientifique portant sur le droit, ni une hiérarchie entre ces divers travaux scientifiques. </w:t>
      </w:r>
    </w:p>
    <w:p w14:paraId="3E315B25" w14:textId="6B417EE4" w:rsidR="00F00135" w:rsidRDefault="00F00135" w:rsidP="00F00135">
      <w:pPr>
        <w:jc w:val="both"/>
      </w:pPr>
      <w:r>
        <w:t xml:space="preserve">Son originalité tient à son objet et </w:t>
      </w:r>
      <w:r w:rsidR="00C16213">
        <w:t xml:space="preserve">à </w:t>
      </w:r>
      <w:r>
        <w:t xml:space="preserve">ses fins. La science juridique du droit a pour objet des entités linguistiques (un ensemble de discours) qui expriment des normes (ou auxquelles il est conféré une signification de normes dans un ordre juridique donné) et qui les justifient avec une certaine efficacité sociale. Cet objet est plus ou moins développé : les normes en vigueur </w:t>
      </w:r>
      <w:r w:rsidR="006E1417">
        <w:t xml:space="preserve">– </w:t>
      </w:r>
      <w:r>
        <w:t xml:space="preserve">ou qui l’ont été (dimension historique) </w:t>
      </w:r>
      <w:r w:rsidR="006E1417">
        <w:t>–,</w:t>
      </w:r>
      <w:r>
        <w:t xml:space="preserve"> au</w:t>
      </w:r>
      <w:r w:rsidR="006E1417">
        <w:t>x</w:t>
      </w:r>
      <w:r>
        <w:t>quel</w:t>
      </w:r>
      <w:r w:rsidR="006E1417">
        <w:t>les</w:t>
      </w:r>
      <w:r>
        <w:t xml:space="preserve"> peuvent être joint</w:t>
      </w:r>
      <w:r w:rsidR="006E1417">
        <w:t>e</w:t>
      </w:r>
      <w:r>
        <w:t>s dans une conception plus étoffée les sources formelles du droit (des textes formulés dans une certaine forme et adopté</w:t>
      </w:r>
      <w:r w:rsidR="006E1417">
        <w:t>s</w:t>
      </w:r>
      <w:r>
        <w:t xml:space="preserve"> </w:t>
      </w:r>
      <w:r w:rsidR="006E1417">
        <w:t>en suivant</w:t>
      </w:r>
      <w:r>
        <w:t xml:space="preserve"> une certaine procédure, les dispositions normatives applicables) et les idéologies normatives, particulièrement </w:t>
      </w:r>
      <w:r w:rsidR="006E1417">
        <w:t xml:space="preserve">celles </w:t>
      </w:r>
      <w:r>
        <w:t xml:space="preserve">des juristes (discours </w:t>
      </w:r>
      <w:proofErr w:type="spellStart"/>
      <w:r>
        <w:t>dogmatico</w:t>
      </w:r>
      <w:proofErr w:type="spellEnd"/>
      <w:r>
        <w:t>-doctrinaux, discours des avocats, des juges sur eux-mêmes, discours sur les méthodes juridiques, etc.).</w:t>
      </w:r>
    </w:p>
    <w:p w14:paraId="06825D48" w14:textId="77777777" w:rsidR="00F00135" w:rsidRDefault="00F00135" w:rsidP="00F00135">
      <w:pPr>
        <w:jc w:val="both"/>
      </w:pPr>
      <w:r>
        <w:t>La science juridique du droit repose donc sur la seule singularité de son objet et de son regard : un regard externe (la science du droit se distingue du droit) qui décrit une pratique linguistique faisant (le) droit.</w:t>
      </w:r>
    </w:p>
    <w:p w14:paraId="52414788" w14:textId="7949771C" w:rsidR="00F00135" w:rsidRPr="00E37333" w:rsidRDefault="00F00135" w:rsidP="00F00135">
      <w:pPr>
        <w:jc w:val="both"/>
      </w:pPr>
      <w:r>
        <w:t xml:space="preserve">A cet égard, même conçue comme une science sociale, cette science du droit mobilise essentiellement des instruments d’analyse linguistiques et logiques, </w:t>
      </w:r>
      <w:r>
        <w:rPr>
          <w:highlight w:val="white"/>
        </w:rPr>
        <w:t>plutôt que des instruments plus communs aux autres sciences sociales</w:t>
      </w:r>
      <w:r w:rsidR="006E1417">
        <w:rPr>
          <w:highlight w:val="white"/>
        </w:rPr>
        <w:t xml:space="preserve"> (</w:t>
      </w:r>
      <w:r>
        <w:rPr>
          <w:highlight w:val="white"/>
        </w:rPr>
        <w:t xml:space="preserve">comme les entretiens, pratiques </w:t>
      </w:r>
      <w:r w:rsidRPr="00E37333">
        <w:t xml:space="preserve">immersives, questionnaires, production de statistiques et de données, usage d’outils algorithmiques et de traitement de </w:t>
      </w:r>
      <w:r w:rsidRPr="00E37333">
        <w:rPr>
          <w:i/>
          <w:iCs/>
        </w:rPr>
        <w:t>big data</w:t>
      </w:r>
      <w:r w:rsidR="006E1417" w:rsidRPr="00E37333">
        <w:t>),</w:t>
      </w:r>
      <w:r w:rsidRPr="00E37333">
        <w:t xml:space="preserve"> même si </w:t>
      </w:r>
      <w:r w:rsidR="00DA54D6" w:rsidRPr="00E37333">
        <w:t xml:space="preserve">ces méthodes sont également utilisées </w:t>
      </w:r>
      <w:r w:rsidRPr="00E37333">
        <w:t xml:space="preserve">dans </w:t>
      </w:r>
      <w:r w:rsidR="001D6EEF" w:rsidRPr="00E37333">
        <w:t>les</w:t>
      </w:r>
      <w:r w:rsidRPr="00E37333">
        <w:t xml:space="preserve"> travaux de </w:t>
      </w:r>
      <w:r w:rsidR="001D6EEF" w:rsidRPr="00E37333">
        <w:t xml:space="preserve">nombreux </w:t>
      </w:r>
      <w:r w:rsidRPr="00E37333">
        <w:t>membres du CTAD.</w:t>
      </w:r>
    </w:p>
    <w:p w14:paraId="2D6204F9" w14:textId="77777777" w:rsidR="00F00135" w:rsidRPr="00E37333" w:rsidRDefault="00F00135" w:rsidP="00F00135">
      <w:pPr>
        <w:jc w:val="both"/>
      </w:pPr>
    </w:p>
    <w:p w14:paraId="246592C2" w14:textId="6134167B" w:rsidR="00F00135" w:rsidRDefault="00F00135" w:rsidP="00F00135">
      <w:pPr>
        <w:jc w:val="both"/>
      </w:pPr>
      <w:r w:rsidRPr="00E37333">
        <w:t xml:space="preserve">Dans cette conception, la relation entre la science du droit défendue au CTAD et les autres sciences sociales se donnant le droit pour objet </w:t>
      </w:r>
      <w:r w:rsidR="00DA54D6" w:rsidRPr="00E37333">
        <w:t>ont principalement été pensées sous l’angle de la démarcation entre les disciplines</w:t>
      </w:r>
      <w:r w:rsidRPr="00E37333">
        <w:t xml:space="preserve">, au nom du refus du syncrétisme méthodologique. </w:t>
      </w:r>
      <w:r w:rsidR="00DA54D6" w:rsidRPr="00E37333">
        <w:t>C’est ce</w:t>
      </w:r>
      <w:r w:rsidR="00AC7D09" w:rsidRPr="00E37333">
        <w:t xml:space="preserve"> point de vue</w:t>
      </w:r>
      <w:r w:rsidR="00DA54D6" w:rsidRPr="00E37333">
        <w:t xml:space="preserve"> que nous voulons interroger aujourd’hui.</w:t>
      </w:r>
      <w:r w:rsidR="00DA54D6">
        <w:t xml:space="preserve"> </w:t>
      </w:r>
    </w:p>
    <w:p w14:paraId="4289ED18" w14:textId="77777777" w:rsidR="00DA54D6" w:rsidRDefault="00DA54D6" w:rsidP="00F00135">
      <w:pPr>
        <w:jc w:val="both"/>
      </w:pPr>
    </w:p>
    <w:p w14:paraId="76230615" w14:textId="4389B40E" w:rsidR="001D6EEF" w:rsidRDefault="00F00135" w:rsidP="00F00135">
      <w:pPr>
        <w:jc w:val="both"/>
      </w:pPr>
      <w:r>
        <w:t xml:space="preserve">Cette journée d’étude intervient dans un contexte où, après des travaux pionniers, le recours à des méthodes qui s’affirment comme “empiriques” </w:t>
      </w:r>
      <w:r w:rsidRPr="00E37333">
        <w:t xml:space="preserve">connaît un développement remarquable chez les juristes, sous des formes très diverses (entretiens, observations, corpus de décisions, statistiques…), aussi bien en France qu’à l’étranger. Par ailleurs, des débats récents ont replacé au centre de l’analyse la question du regard porté sur le droit “en juriste” ou “en sociologue”. </w:t>
      </w:r>
      <w:r w:rsidR="00DA54D6" w:rsidRPr="00E37333">
        <w:t>Dès lors, l’enjeu principal n’est pas seulement celui des frontières disciplinaires, mais aussi de saisir de nouveaux objets de recherche</w:t>
      </w:r>
      <w:r w:rsidR="00AC7D09" w:rsidRPr="00E37333">
        <w:t xml:space="preserve"> (des normes, des pratiques sociales référées au droit, les perceptions du droit par des acteurs, des modes de présence du droit),</w:t>
      </w:r>
      <w:r w:rsidR="00DA54D6" w:rsidRPr="00E37333">
        <w:t xml:space="preserve"> de mettre en œuvre de nouvelles pratiques de recherche rendus accessibles par certaines méthodes</w:t>
      </w:r>
      <w:r w:rsidR="00AC7D09" w:rsidRPr="00E37333">
        <w:t xml:space="preserve"> (outils d’analyse linguistiques et logiques, méthodes d’observation, méthodes quantitatives…), et ainsi d’élargir le regard porté sur </w:t>
      </w:r>
      <w:r w:rsidR="00AC7D09" w:rsidRPr="00E37333">
        <w:lastRenderedPageBreak/>
        <w:t xml:space="preserve">le droit. </w:t>
      </w:r>
      <w:r w:rsidR="001D6EEF" w:rsidRPr="00E37333">
        <w:t>Comment une théorie réaliste et empiriste du droit peut-elle penser l'essor contemporain des méthodes empiriques et des sciences sociales du droit ?</w:t>
      </w:r>
      <w:r w:rsidR="001D6EEF" w:rsidRPr="001D6EEF">
        <w:t xml:space="preserve"> </w:t>
      </w:r>
    </w:p>
    <w:p w14:paraId="7C9073DB" w14:textId="77777777" w:rsidR="00F00135" w:rsidRDefault="00F00135" w:rsidP="00F00135">
      <w:pPr>
        <w:jc w:val="both"/>
      </w:pPr>
    </w:p>
    <w:p w14:paraId="4CB98FEB" w14:textId="77777777" w:rsidR="00F00135" w:rsidRDefault="00F00135" w:rsidP="00F00135">
      <w:pPr>
        <w:jc w:val="both"/>
      </w:pPr>
      <w:r>
        <w:t xml:space="preserve">Cette interrogation repose sur deux volets que, dans la cohérence avec la position du Centre, nous concevons comme séparés : </w:t>
      </w:r>
    </w:p>
    <w:p w14:paraId="05D311DA" w14:textId="77777777" w:rsidR="00F00135" w:rsidRDefault="00F00135" w:rsidP="00F00135">
      <w:pPr>
        <w:jc w:val="both"/>
      </w:pPr>
      <w:r>
        <w:t xml:space="preserve">- sciences sociales et droit (II), </w:t>
      </w:r>
    </w:p>
    <w:p w14:paraId="4AF8015F" w14:textId="63B4E5C6" w:rsidR="00F00135" w:rsidRDefault="00F00135" w:rsidP="00F00135">
      <w:pPr>
        <w:jc w:val="both"/>
      </w:pPr>
      <w:r>
        <w:t>- sciences sociales et science juridique du droit (III).</w:t>
      </w:r>
    </w:p>
    <w:p w14:paraId="2759858F" w14:textId="77777777" w:rsidR="00F00135" w:rsidRDefault="00F00135" w:rsidP="00F00135">
      <w:pPr>
        <w:jc w:val="both"/>
      </w:pPr>
    </w:p>
    <w:p w14:paraId="306595F1" w14:textId="77777777" w:rsidR="00F00135" w:rsidRDefault="00F00135" w:rsidP="00F00135">
      <w:pPr>
        <w:jc w:val="both"/>
        <w:rPr>
          <w:b/>
          <w:bCs/>
        </w:rPr>
      </w:pPr>
      <w:r>
        <w:rPr>
          <w:b/>
          <w:bCs/>
        </w:rPr>
        <w:t>II - Sciences sociales et droit</w:t>
      </w:r>
    </w:p>
    <w:p w14:paraId="443613F8" w14:textId="77777777" w:rsidR="00F00135" w:rsidRDefault="00F00135" w:rsidP="00F00135">
      <w:pPr>
        <w:jc w:val="both"/>
      </w:pPr>
    </w:p>
    <w:p w14:paraId="69A8EDA1" w14:textId="77777777" w:rsidR="00F00135" w:rsidRDefault="00F00135" w:rsidP="00F00135">
      <w:pPr>
        <w:jc w:val="both"/>
      </w:pPr>
      <w:r>
        <w:t xml:space="preserve">Dans l’approche élaborée au sein du Centre, le droit n’est pas une science mais une activité discursive à vocation normative, argumentative et justificative. </w:t>
      </w:r>
    </w:p>
    <w:p w14:paraId="4C0C006F" w14:textId="77777777" w:rsidR="00AC7D09" w:rsidRDefault="00AC7D09" w:rsidP="00F00135">
      <w:pPr>
        <w:jc w:val="both"/>
      </w:pPr>
    </w:p>
    <w:p w14:paraId="10B11FD8" w14:textId="6C2DB0CE" w:rsidR="00F00135" w:rsidRDefault="00F00135" w:rsidP="00F00135">
      <w:pPr>
        <w:jc w:val="both"/>
      </w:pPr>
      <w:r>
        <w:t>Pour autant, une analyse des discours constitutifs de l’objet d’étude que la théorie défendue au sein du Centre assigne à la science du droit montre la présence au sein de ces discours, de manière plus ou moins contingente, de références soit à des données qui sont des objets</w:t>
      </w:r>
      <w:r w:rsidR="006E1417">
        <w:t xml:space="preserve"> ou bien des résultats</w:t>
      </w:r>
      <w:r>
        <w:t xml:space="preserve"> des sciences sociales, soit même parfois à des thèses élaborées au sein des sciences sociales (des thèses scientifiques et/ou des doctrines sociales pseudo-scientifiques). Il est à noter qu’ici, les sciences sociales concernées ne sont généralement pas des sciences sociales se donnant le droit pour objet.</w:t>
      </w:r>
    </w:p>
    <w:p w14:paraId="761F5996" w14:textId="77777777" w:rsidR="00F00135" w:rsidRDefault="00F00135" w:rsidP="00F00135">
      <w:pPr>
        <w:jc w:val="both"/>
      </w:pPr>
    </w:p>
    <w:p w14:paraId="2BBCD192" w14:textId="77777777" w:rsidR="00F00135" w:rsidRDefault="00F00135" w:rsidP="00F00135">
      <w:pPr>
        <w:jc w:val="both"/>
      </w:pPr>
      <w:r>
        <w:t xml:space="preserve">Ces références extra-juridiques se rencontrent notamment : </w:t>
      </w:r>
    </w:p>
    <w:p w14:paraId="05C08E1B" w14:textId="77777777" w:rsidR="00F00135" w:rsidRDefault="00F00135" w:rsidP="00F00135">
      <w:pPr>
        <w:jc w:val="both"/>
      </w:pPr>
      <w:r>
        <w:tab/>
        <w:t>a) en matière de preuve, ce qui pose la question de la (possible) mobilisation par les juristes des méthodes des sciences sociales pour comprendre des faits</w:t>
      </w:r>
    </w:p>
    <w:p w14:paraId="471860E6" w14:textId="77777777" w:rsidR="00F00135" w:rsidRDefault="00F00135" w:rsidP="00F00135">
      <w:pPr>
        <w:jc w:val="both"/>
      </w:pPr>
      <w:r>
        <w:tab/>
        <w:t>b) en matière de justification de méthodes interprétatives, et d’élaboration de ces méthodes (notamment mais pas exclusivement les méthodes fonctionnelles – but et conséquences –, qu’elles soient internes – but social de la loi, conséquences sociales de la loi – ou externes – activisme judiciaire)</w:t>
      </w:r>
    </w:p>
    <w:p w14:paraId="0D4A2F26" w14:textId="77777777" w:rsidR="00F00135" w:rsidRDefault="00F00135" w:rsidP="00F00135">
      <w:pPr>
        <w:jc w:val="both"/>
      </w:pPr>
      <w:r>
        <w:tab/>
        <w:t>c) en matière de justification des sources du droit – exposé des motifs.</w:t>
      </w:r>
    </w:p>
    <w:p w14:paraId="71FF853E" w14:textId="77777777" w:rsidR="00F00135" w:rsidRDefault="00F00135" w:rsidP="00F00135">
      <w:pPr>
        <w:jc w:val="both"/>
      </w:pPr>
    </w:p>
    <w:p w14:paraId="72A77D74" w14:textId="77777777" w:rsidR="00F00135" w:rsidRDefault="00F00135" w:rsidP="00F00135">
      <w:pPr>
        <w:jc w:val="both"/>
      </w:pPr>
      <w:r>
        <w:t>Dès lors se pose pour nous la question de savoir si de telles références doivent être prises au sérieux pour la compréhension et donc la description du droit. Notamment, et de manière non exhaustive :</w:t>
      </w:r>
    </w:p>
    <w:p w14:paraId="1E84B491" w14:textId="77777777" w:rsidR="00F00135" w:rsidRDefault="00F00135" w:rsidP="00F00135">
      <w:pPr>
        <w:jc w:val="both"/>
      </w:pPr>
    </w:p>
    <w:p w14:paraId="640FE807" w14:textId="4F307F3E" w:rsidR="00F00135" w:rsidRDefault="00F00135" w:rsidP="00F00135">
      <w:pPr>
        <w:jc w:val="both"/>
      </w:pPr>
      <w:r>
        <w:tab/>
        <w:t xml:space="preserve">a) le statut juridique des données dépend-il de leur statut scientifique (preuve et vérité) ou s’agit-il comme l’affirme généralement la position réaliste d’une simple justification formelle indépendante de toute vérité (et ne révélant qu’une certaine capacité </w:t>
      </w:r>
      <w:r w:rsidR="00951A40">
        <w:t>à</w:t>
      </w:r>
      <w:r>
        <w:t xml:space="preserve"> convaincre, donc peut-être une meilleure efficacité sociale) ?</w:t>
      </w:r>
    </w:p>
    <w:p w14:paraId="51454E13" w14:textId="77777777" w:rsidR="00F00135" w:rsidRDefault="00F00135" w:rsidP="00F00135">
      <w:pPr>
        <w:jc w:val="both"/>
      </w:pPr>
      <w:r>
        <w:tab/>
        <w:t>b) la compréhension de l’argumentation juridique quand elle se réfère à des données sociales, ou à des thèses des sciences sociales, est-elle meilleure du point de vue cognitif si la science du droit mobilise pour l’analyse (de ces discours) les méthodes des sciences sociales concernées ?</w:t>
      </w:r>
    </w:p>
    <w:p w14:paraId="6AD12091" w14:textId="4F75B52B" w:rsidR="00F00135" w:rsidRDefault="00F00135" w:rsidP="00F00135">
      <w:pPr>
        <w:jc w:val="both"/>
      </w:pPr>
      <w:r>
        <w:tab/>
        <w:t xml:space="preserve">c) </w:t>
      </w:r>
      <w:r w:rsidR="00951A40">
        <w:t>l</w:t>
      </w:r>
      <w:r>
        <w:t xml:space="preserve">a référence à des thèses scientifiques </w:t>
      </w:r>
      <w:r w:rsidR="00951A40">
        <w:t xml:space="preserve">issues </w:t>
      </w:r>
      <w:r>
        <w:t xml:space="preserve">des sciences sociales a-t-elle un statut différent pour la science du droit </w:t>
      </w:r>
      <w:r w:rsidR="00951A40">
        <w:t xml:space="preserve">de celui de </w:t>
      </w:r>
      <w:r>
        <w:t>la référence à des doctrines sociales (des thèses politico-morales) ?</w:t>
      </w:r>
    </w:p>
    <w:p w14:paraId="73DB4991" w14:textId="63084F0D" w:rsidR="00F00135" w:rsidRDefault="00F00135" w:rsidP="00F00135">
      <w:pPr>
        <w:jc w:val="both"/>
      </w:pPr>
      <w:r>
        <w:tab/>
        <w:t xml:space="preserve">d) </w:t>
      </w:r>
      <w:r w:rsidR="00951A40">
        <w:t>d</w:t>
      </w:r>
      <w:r>
        <w:t xml:space="preserve">ans quelle mesure faut-il faire place </w:t>
      </w:r>
      <w:r w:rsidR="00951A40">
        <w:t xml:space="preserve">aux méthodes issues des sciences sociales </w:t>
      </w:r>
      <w:r>
        <w:t>dans l’analyse des méthodes des juristes (</w:t>
      </w:r>
      <w:r w:rsidR="00951A40">
        <w:t xml:space="preserve">c’est-à-dire celles qu’ils utilisent </w:t>
      </w:r>
      <w:r>
        <w:t>réellement)</w:t>
      </w:r>
      <w:r w:rsidR="00951A40">
        <w:t> ?</w:t>
      </w:r>
    </w:p>
    <w:p w14:paraId="3EA23949" w14:textId="77777777" w:rsidR="00F00135" w:rsidRDefault="00F00135" w:rsidP="00F00135">
      <w:pPr>
        <w:jc w:val="both"/>
      </w:pPr>
    </w:p>
    <w:p w14:paraId="707C77DD" w14:textId="05098409" w:rsidR="00F00135" w:rsidRDefault="00F00135" w:rsidP="00F00135">
      <w:pPr>
        <w:jc w:val="both"/>
      </w:pPr>
      <w:r>
        <w:lastRenderedPageBreak/>
        <w:t>Pour autant, si ces questions doivent et peuvent être intégrées dans la science du droit, elles ne changent pas la science du droit elle-même, ni même son objet</w:t>
      </w:r>
      <w:r w:rsidR="00951A40">
        <w:t> ;</w:t>
      </w:r>
      <w:r>
        <w:t xml:space="preserve"> elles participent seulement à la redéfinition du contenu de son objet : elles permettent de rendre compte d’une certaine configuration possible des discours constituant cet objet.</w:t>
      </w:r>
    </w:p>
    <w:p w14:paraId="720F4B06" w14:textId="77777777" w:rsidR="00F00135" w:rsidRDefault="00F00135" w:rsidP="00F00135">
      <w:pPr>
        <w:jc w:val="both"/>
      </w:pPr>
    </w:p>
    <w:p w14:paraId="528CA8BE" w14:textId="77777777" w:rsidR="00E37333" w:rsidRDefault="00E37333" w:rsidP="00F00135">
      <w:pPr>
        <w:jc w:val="both"/>
      </w:pPr>
    </w:p>
    <w:p w14:paraId="1C27FE36" w14:textId="77777777" w:rsidR="00E37333" w:rsidRDefault="00E37333" w:rsidP="00F00135">
      <w:pPr>
        <w:jc w:val="both"/>
      </w:pPr>
    </w:p>
    <w:p w14:paraId="4FBE1B0B" w14:textId="77777777" w:rsidR="00F00135" w:rsidRDefault="00F00135" w:rsidP="00F00135">
      <w:pPr>
        <w:jc w:val="both"/>
        <w:rPr>
          <w:b/>
          <w:bCs/>
        </w:rPr>
      </w:pPr>
      <w:r>
        <w:rPr>
          <w:b/>
          <w:bCs/>
        </w:rPr>
        <w:t>III – Sciences sociales et science juridique du droit.</w:t>
      </w:r>
    </w:p>
    <w:p w14:paraId="4B204432" w14:textId="77777777" w:rsidR="00F00135" w:rsidRDefault="00F00135" w:rsidP="00F00135">
      <w:pPr>
        <w:jc w:val="both"/>
      </w:pPr>
    </w:p>
    <w:p w14:paraId="2FE50BC8" w14:textId="38954665" w:rsidR="00F00135" w:rsidRDefault="00F00135" w:rsidP="00F00135">
      <w:pPr>
        <w:jc w:val="both"/>
      </w:pPr>
      <w:r>
        <w:t xml:space="preserve">Ici, le questionnement va plus loin et </w:t>
      </w:r>
      <w:r w:rsidR="00C16213">
        <w:t xml:space="preserve">constitue </w:t>
      </w:r>
      <w:r>
        <w:t>évidemment l’interrogation la plus forte</w:t>
      </w:r>
      <w:r w:rsidR="00951A40">
        <w:t>,</w:t>
      </w:r>
      <w:r>
        <w:t xml:space="preserve"> car elle </w:t>
      </w:r>
      <w:r w:rsidR="00C16213">
        <w:t xml:space="preserve">met en cause </w:t>
      </w:r>
      <w:r>
        <w:t xml:space="preserve">notre propre positionnement épistémologique et méthodologique. </w:t>
      </w:r>
    </w:p>
    <w:p w14:paraId="0101B46D" w14:textId="12E3C5A1" w:rsidR="00F00135" w:rsidRDefault="00F00135" w:rsidP="00F00135">
      <w:pPr>
        <w:jc w:val="both"/>
      </w:pPr>
      <w:r>
        <w:t xml:space="preserve">Il s’agit de réfléchir </w:t>
      </w:r>
      <w:r w:rsidR="00C16213">
        <w:t xml:space="preserve">aux </w:t>
      </w:r>
      <w:r>
        <w:t xml:space="preserve">conséquences d’une position positiviste et empiriste de la science du droit : jusqu’à quel point est-il tenable de penser la spécificité d’une science juridique du droit, indépendamment des autres sciences sociales </w:t>
      </w:r>
      <w:r w:rsidR="00C16213">
        <w:t xml:space="preserve">qui </w:t>
      </w:r>
      <w:r>
        <w:t>se donn</w:t>
      </w:r>
      <w:r w:rsidR="00C16213">
        <w:t>e</w:t>
      </w:r>
      <w:r>
        <w:t>nt le droit pour objet</w:t>
      </w:r>
      <w:r w:rsidR="00951A40">
        <w:t> ?</w:t>
      </w:r>
      <w:r>
        <w:t xml:space="preserve"> </w:t>
      </w:r>
      <w:r w:rsidR="00951A40">
        <w:t xml:space="preserve">Cela </w:t>
      </w:r>
      <w:r>
        <w:t>pose également la question de la distinction ou non entre diverses dimensions (linguistique, sociologique, psychologique, etc.</w:t>
      </w:r>
      <w:r w:rsidR="00C16213">
        <w:t>)</w:t>
      </w:r>
      <w:r>
        <w:t xml:space="preserve"> d’un objet social complexe, et</w:t>
      </w:r>
      <w:r w:rsidR="00C16213">
        <w:t>,</w:t>
      </w:r>
      <w:r>
        <w:t xml:space="preserve"> bien entendu</w:t>
      </w:r>
      <w:r w:rsidR="00C16213">
        <w:t>,</w:t>
      </w:r>
      <w:r>
        <w:t xml:space="preserve"> de la réversibilité d’une ouverture entre les diverses sciences sociales abordant ce même objet.</w:t>
      </w:r>
    </w:p>
    <w:p w14:paraId="397378FD" w14:textId="77777777" w:rsidR="00F00135" w:rsidRDefault="00F00135" w:rsidP="00F00135">
      <w:pPr>
        <w:jc w:val="both"/>
      </w:pPr>
    </w:p>
    <w:p w14:paraId="1DF54F04" w14:textId="77777777" w:rsidR="00F00135" w:rsidRDefault="00F00135" w:rsidP="00F00135">
      <w:pPr>
        <w:ind w:firstLine="720"/>
        <w:jc w:val="both"/>
      </w:pPr>
      <w:r>
        <w:t>Pour les chercheurs du Centre, le questionnement part de plusieurs convictions, qui sont contenues dans sa position rappelée en I :</w:t>
      </w:r>
    </w:p>
    <w:p w14:paraId="66E507DF" w14:textId="77777777" w:rsidR="00F00135" w:rsidRDefault="00F00135" w:rsidP="00F00135">
      <w:pPr>
        <w:jc w:val="both"/>
      </w:pPr>
      <w:r>
        <w:tab/>
        <w:t xml:space="preserve">a) l’unité épistémologique des diverses sciences comme activité </w:t>
      </w:r>
      <w:proofErr w:type="spellStart"/>
      <w:r>
        <w:t>descriptivo</w:t>
      </w:r>
      <w:proofErr w:type="spellEnd"/>
      <w:r>
        <w:t>-explicative falsifiable de ce qui existe (empirisme logique), et notamment de l’unité épistémologique des sciences sociales.</w:t>
      </w:r>
    </w:p>
    <w:p w14:paraId="7B6BD16C" w14:textId="77777777" w:rsidR="00F00135" w:rsidRDefault="00F00135" w:rsidP="00F00135">
      <w:pPr>
        <w:jc w:val="both"/>
      </w:pPr>
      <w:r>
        <w:tab/>
        <w:t>b) le refus du syncrétisme épistémologique : chaque science construit son objet et sélectionne ses méthodes aux fins de le décrire et de l’expliquer. Toute démarche de rapprochement entre ces sciences doit exclure la « kleptomanie » des méthodes et des résultats pour penser un nouvel objet et de nouvelles méthodes (la qualification de cette démarche comme interdisciplinaire ou pluridisciplinaire est ici secondaire).</w:t>
      </w:r>
    </w:p>
    <w:p w14:paraId="724E0D26" w14:textId="531CE008" w:rsidR="00F00135" w:rsidRDefault="00F00135" w:rsidP="00F00135">
      <w:pPr>
        <w:jc w:val="both"/>
      </w:pPr>
      <w:r>
        <w:tab/>
        <w:t xml:space="preserve">c) le caractère illusoire d’une approche unifiée de l’objet et des méthodes, donc d’une fusion des sciences et des savoirs se donnant le droit pour objet, faisant disparaître l’originalité de chacune. Une distinction essentielle semble ici pouvoir et devoir être maintenue entre le </w:t>
      </w:r>
      <w:r w:rsidRPr="00951A40">
        <w:rPr>
          <w:i/>
          <w:iCs/>
        </w:rPr>
        <w:t>corpus empirique</w:t>
      </w:r>
      <w:r>
        <w:t xml:space="preserve"> étudié (des textes, des pratiques, des groupes sociaux…) et l’</w:t>
      </w:r>
      <w:r w:rsidRPr="00951A40">
        <w:rPr>
          <w:i/>
          <w:iCs/>
        </w:rPr>
        <w:t xml:space="preserve">objet scientifique </w:t>
      </w:r>
      <w:r>
        <w:t xml:space="preserve">conçu comme un ensemble de questionnements </w:t>
      </w:r>
      <w:r w:rsidR="00C16213">
        <w:t xml:space="preserve">propre </w:t>
      </w:r>
      <w:r>
        <w:t xml:space="preserve">à chaque enquête savante. Tout corpus peut dès lors être l’objet de plusieurs disciplines scientifiques ou </w:t>
      </w:r>
      <w:r w:rsidR="00C16213">
        <w:t xml:space="preserve">de </w:t>
      </w:r>
      <w:r>
        <w:t>discours savants distincts (par exemple, analyses sociologiques, juridiques, historiques ou économiques de la famille, des droits et libertés, des comparutions immédiates, du président de la République…). Conséquence, comme certains (devenus) membres du CTAD avec d’autres se sont employés à le démontrer, toute analyse juridique de (x) est possible, et ajoutera-t-on ici réciproquement, toute analyse (x) de corpus identifié conventionnellement et habituellement comme juridique l’est aussi.</w:t>
      </w:r>
    </w:p>
    <w:p w14:paraId="375B60D1" w14:textId="77777777" w:rsidR="00F00135" w:rsidRDefault="00F00135" w:rsidP="00F00135">
      <w:pPr>
        <w:jc w:val="both"/>
      </w:pPr>
    </w:p>
    <w:p w14:paraId="479E0F10" w14:textId="3AF1CC36" w:rsidR="00F00135" w:rsidRDefault="00F00135" w:rsidP="00F00135">
      <w:pPr>
        <w:ind w:firstLine="720"/>
        <w:jc w:val="both"/>
      </w:pPr>
      <w:r>
        <w:t>L’interrogation portera alors essentiellement</w:t>
      </w:r>
      <w:r w:rsidR="00C16213">
        <w:t>,</w:t>
      </w:r>
      <w:r>
        <w:t xml:space="preserve"> pour ne pas dire exclusivement</w:t>
      </w:r>
      <w:r w:rsidR="00C16213">
        <w:t>,</w:t>
      </w:r>
      <w:r>
        <w:t xml:space="preserve"> sur le caractère possible et souhaitable d’une pensée articulant</w:t>
      </w:r>
      <w:r w:rsidR="00951A40">
        <w:t xml:space="preserve"> (</w:t>
      </w:r>
      <w:r>
        <w:t>d’une manière à définir en commun</w:t>
      </w:r>
      <w:r w:rsidR="00951A40">
        <w:t>)</w:t>
      </w:r>
      <w:r>
        <w:t xml:space="preserve"> des questions communes à plusieurs sciences sociales sur le droit.</w:t>
      </w:r>
    </w:p>
    <w:p w14:paraId="15B4AA30" w14:textId="77777777" w:rsidR="00F00135" w:rsidRDefault="00F00135" w:rsidP="00F00135">
      <w:pPr>
        <w:jc w:val="both"/>
      </w:pPr>
    </w:p>
    <w:p w14:paraId="4EF1B0F4" w14:textId="131745D7" w:rsidR="00F00135" w:rsidRDefault="00F00135" w:rsidP="00F00135">
      <w:pPr>
        <w:jc w:val="both"/>
      </w:pPr>
      <w:r>
        <w:lastRenderedPageBreak/>
        <w:tab/>
        <w:t xml:space="preserve">a) ceci ne paraît pouvoir être fondé que sur la construction à un niveau </w:t>
      </w:r>
      <w:proofErr w:type="spellStart"/>
      <w:r>
        <w:t>méta</w:t>
      </w:r>
      <w:r w:rsidR="00562A30">
        <w:t>-</w:t>
      </w:r>
      <w:r>
        <w:t>théorique</w:t>
      </w:r>
      <w:proofErr w:type="spellEnd"/>
      <w:r>
        <w:t xml:space="preserve"> de cette articulation, donc par l’élaboration en commun de concepts partagés entre diverses théories des sciences sociales du droit, notamment et prioritairement sur la question de l’importation-intégration des méthodes d’autres sciences sociales du droit dans une théorie de la science juridique du droit (et éventuellement réciproquement) sans que cette science juridique du droit et ces sciences sociales se donnant le droit pour objet ne perdent leur cohérence propre. </w:t>
      </w:r>
    </w:p>
    <w:p w14:paraId="291E5F5A" w14:textId="77777777" w:rsidR="00F00135" w:rsidRDefault="00F00135" w:rsidP="00F00135">
      <w:pPr>
        <w:jc w:val="both"/>
      </w:pPr>
    </w:p>
    <w:p w14:paraId="0D3CC9F4" w14:textId="7C888513" w:rsidR="00F00135" w:rsidRDefault="00F00135" w:rsidP="00F00135">
      <w:pPr>
        <w:jc w:val="both"/>
      </w:pPr>
      <w:r>
        <w:tab/>
        <w:t xml:space="preserve">b) pour la science juridique du droit, des tentatives jugées non satisfaisantes ont été ébauchées soit dans le réalisme états-unien (Jerome Frank pour la psychologie, le groupe de John Hopkins pour la sociologie quantitative, accessoirement la caricature de la </w:t>
      </w:r>
      <w:r w:rsidR="00562A30">
        <w:t>« </w:t>
      </w:r>
      <w:r>
        <w:t>théorie du petit déjeuner</w:t>
      </w:r>
      <w:r w:rsidR="00562A30">
        <w:t> »</w:t>
      </w:r>
      <w:r>
        <w:t xml:space="preserve">), soit dans le réalisme scandinave (principalement chez Ross avec l’affirmation de l’explication socio-psychologique du droit). A l’inverse, d’autres théories explicatives avancées par la théorie de cette science, et notamment la théorie des contraintes juridiques, ont rencontré les limites, dans une démarche descriptive-explicative, d’une science du droit n’ayant pas la capacité d’intégrer des questions traitées par d’autres sciences sociales se donnant également le droit pour objet. </w:t>
      </w:r>
    </w:p>
    <w:p w14:paraId="701C4957" w14:textId="77777777" w:rsidR="00F00135" w:rsidRDefault="00F00135" w:rsidP="00F00135">
      <w:pPr>
        <w:jc w:val="both"/>
      </w:pPr>
    </w:p>
    <w:p w14:paraId="08367530" w14:textId="4B5BD400" w:rsidR="00F00135" w:rsidRDefault="00F00135" w:rsidP="00F00135">
      <w:pPr>
        <w:jc w:val="both"/>
      </w:pPr>
      <w:r>
        <w:tab/>
        <w:t xml:space="preserve">c) parmi les questions classiques de la théorie de la science du droit qui pourraient être éclairées par cette démarche </w:t>
      </w:r>
      <w:proofErr w:type="spellStart"/>
      <w:r>
        <w:t>méta-théorique</w:t>
      </w:r>
      <w:proofErr w:type="spellEnd"/>
      <w:r>
        <w:t xml:space="preserve"> </w:t>
      </w:r>
      <w:r w:rsidR="00562A30">
        <w:t>(</w:t>
      </w:r>
      <w:r>
        <w:t>puis de reformulation théorique et méthodologique</w:t>
      </w:r>
      <w:r w:rsidR="00562A30">
        <w:t>)</w:t>
      </w:r>
      <w:r>
        <w:t>, figurent par exemple la question de l’efficacité comme critère d’une conception expressive de la norme, la question de la construction et du caractère positif (au sens des sciences sociales) de l’idéologie juridique, la question de la motivation des interprètes dans leurs choix d’interprétation, et notamment de répétition des interprétations, etc.</w:t>
      </w:r>
    </w:p>
    <w:p w14:paraId="2C3A592D" w14:textId="77777777" w:rsidR="00F00135" w:rsidRDefault="00F00135" w:rsidP="00F00135">
      <w:pPr>
        <w:jc w:val="both"/>
      </w:pPr>
    </w:p>
    <w:p w14:paraId="557BE9AA" w14:textId="70ABFCA9" w:rsidR="00F00135" w:rsidRPr="00E37333" w:rsidRDefault="00F00135" w:rsidP="00F00135">
      <w:pPr>
        <w:ind w:firstLine="720"/>
        <w:jc w:val="both"/>
      </w:pPr>
      <w:r>
        <w:t xml:space="preserve">d) pour la science juridique du droit, il s’agit notamment d’envisager les possibilités qui s’offrent à </w:t>
      </w:r>
      <w:r w:rsidR="007E34E3">
        <w:t xml:space="preserve">elle </w:t>
      </w:r>
      <w:r>
        <w:t xml:space="preserve">pour redéfinir ses objets </w:t>
      </w:r>
      <w:r w:rsidR="00562A30">
        <w:t>–</w:t>
      </w:r>
      <w:r>
        <w:t xml:space="preserve"> au-delà des normes en vigueur </w:t>
      </w:r>
      <w:r w:rsidR="00562A30">
        <w:t>–</w:t>
      </w:r>
      <w:r>
        <w:t xml:space="preserve"> et de caractériser la/les/des manière/s d’intégrer</w:t>
      </w:r>
      <w:r w:rsidR="001D6EEF">
        <w:t xml:space="preserve"> </w:t>
      </w:r>
      <w:r>
        <w:t xml:space="preserve">les </w:t>
      </w:r>
      <w:r w:rsidRPr="00E37333">
        <w:t xml:space="preserve">méthodes </w:t>
      </w:r>
      <w:r w:rsidR="001D6EEF" w:rsidRPr="00E37333">
        <w:t xml:space="preserve">développées par les </w:t>
      </w:r>
      <w:r w:rsidRPr="00E37333">
        <w:t xml:space="preserve">autres sciences sociales (du droit), notamment celles décrites comme empiriques (entretiens, observations, méthodes quantitatives…) </w:t>
      </w:r>
      <w:r w:rsidR="001D6EEF" w:rsidRPr="00E37333">
        <w:t>au sein d’</w:t>
      </w:r>
      <w:r w:rsidRPr="00E37333">
        <w:t>une science juridique du droit, sans que ces usages soient renvoyés à une forme d’interdisciplinarité.</w:t>
      </w:r>
    </w:p>
    <w:p w14:paraId="2E1D389C" w14:textId="77777777" w:rsidR="005A716A" w:rsidRPr="00E37333" w:rsidRDefault="005A716A" w:rsidP="00F00135">
      <w:pPr>
        <w:ind w:firstLine="720"/>
        <w:jc w:val="both"/>
      </w:pPr>
    </w:p>
    <w:p w14:paraId="6B847E54" w14:textId="4943F470" w:rsidR="007E34E3" w:rsidRDefault="007E34E3" w:rsidP="00F00135">
      <w:pPr>
        <w:ind w:firstLine="720"/>
        <w:jc w:val="both"/>
      </w:pPr>
      <w:r w:rsidRPr="00E37333">
        <w:t xml:space="preserve">e) </w:t>
      </w:r>
      <w:r w:rsidR="00C95E24" w:rsidRPr="00E37333">
        <w:t>a</w:t>
      </w:r>
      <w:r w:rsidR="00F34A57" w:rsidRPr="00E37333">
        <w:t xml:space="preserve">u-delà de l’affirmation selon laquelle </w:t>
      </w:r>
      <w:r w:rsidRPr="00E37333">
        <w:t>la personne qui produit une analyse scientifique sur le droit n'est pas une autorité normative</w:t>
      </w:r>
      <w:r w:rsidR="00F34A57" w:rsidRPr="00E37333">
        <w:t xml:space="preserve">, doit-on, et comment, tenir compte </w:t>
      </w:r>
      <w:r w:rsidRPr="00E37333">
        <w:t>de la subjectivité du regard du chercheur en droit, qui ne peut manquer d’avoir des intérêts et des préférences</w:t>
      </w:r>
      <w:r w:rsidR="00F34A57" w:rsidRPr="00E37333">
        <w:t>, ne serait-ce que comme justiciable</w:t>
      </w:r>
      <w:r w:rsidRPr="00E37333">
        <w:t> ? Comment les méthodes d’observation du droit peuvent-elles tenir compte de la subjectivité du regard de chaque chercheur ? Cette dernière est-elle irréductible ?</w:t>
      </w:r>
    </w:p>
    <w:p w14:paraId="03AD3494" w14:textId="77777777" w:rsidR="00C16213" w:rsidRDefault="00C16213" w:rsidP="00C16213">
      <w:pPr>
        <w:jc w:val="both"/>
      </w:pPr>
    </w:p>
    <w:sectPr w:rsidR="00C16213" w:rsidSect="00E37333">
      <w:footerReference w:type="even" r:id="rId9"/>
      <w:footerReference w:type="default" r:id="rId10"/>
      <w:pgSz w:w="11906" w:h="16838"/>
      <w:pgMar w:top="1701" w:right="1701" w:bottom="1701" w:left="1701" w:header="0" w:footer="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25C85D" w14:textId="77777777" w:rsidR="00F73275" w:rsidRDefault="00F73275" w:rsidP="006F7581">
      <w:r>
        <w:separator/>
      </w:r>
    </w:p>
  </w:endnote>
  <w:endnote w:type="continuationSeparator" w:id="0">
    <w:p w14:paraId="61BCC536" w14:textId="77777777" w:rsidR="00F73275" w:rsidRDefault="00F73275" w:rsidP="006F7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Liberation Serif">
    <w:altName w:val="Times New Roman"/>
    <w:panose1 w:val="02020603050405020304"/>
    <w:charset w:val="00"/>
    <w:family w:val="roman"/>
    <w:pitch w:val="variable"/>
    <w:sig w:usb0="E0000AFF" w:usb1="500078FF" w:usb2="00000021" w:usb3="00000000" w:csb0="000001B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781252004"/>
      <w:docPartObj>
        <w:docPartGallery w:val="Page Numbers (Bottom of Page)"/>
        <w:docPartUnique/>
      </w:docPartObj>
    </w:sdtPr>
    <w:sdtContent>
      <w:p w14:paraId="0C7DE69B" w14:textId="2A7D63A1" w:rsidR="006F7581" w:rsidRDefault="006F7581" w:rsidP="00A25D24">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rPr>
          <w:fldChar w:fldCharType="end"/>
        </w:r>
      </w:p>
    </w:sdtContent>
  </w:sdt>
  <w:p w14:paraId="61015DF2" w14:textId="77777777" w:rsidR="006F7581" w:rsidRDefault="006F7581">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3651620"/>
      <w:docPartObj>
        <w:docPartGallery w:val="Page Numbers (Bottom of Page)"/>
        <w:docPartUnique/>
      </w:docPartObj>
    </w:sdtPr>
    <w:sdtContent>
      <w:p w14:paraId="67957F81" w14:textId="4FEEFC35" w:rsidR="005F689E" w:rsidRDefault="005F689E">
        <w:pPr>
          <w:pStyle w:val="Pieddepage"/>
          <w:jc w:val="center"/>
        </w:pPr>
        <w:r>
          <w:fldChar w:fldCharType="begin"/>
        </w:r>
        <w:r>
          <w:instrText>PAGE   \* MERGEFORMAT</w:instrText>
        </w:r>
        <w:r>
          <w:fldChar w:fldCharType="separate"/>
        </w:r>
        <w:r>
          <w:rPr>
            <w:lang w:val="fr-FR"/>
          </w:rPr>
          <w:t>2</w:t>
        </w:r>
        <w:r>
          <w:fldChar w:fldCharType="end"/>
        </w:r>
      </w:p>
    </w:sdtContent>
  </w:sdt>
  <w:p w14:paraId="1CA25537" w14:textId="77777777" w:rsidR="006F7581" w:rsidRDefault="006F758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154FE2" w14:textId="77777777" w:rsidR="00F73275" w:rsidRDefault="00F73275" w:rsidP="006F7581">
      <w:r>
        <w:separator/>
      </w:r>
    </w:p>
  </w:footnote>
  <w:footnote w:type="continuationSeparator" w:id="0">
    <w:p w14:paraId="77ED7168" w14:textId="77777777" w:rsidR="00F73275" w:rsidRDefault="00F73275" w:rsidP="006F75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556D5"/>
    <w:multiLevelType w:val="multilevel"/>
    <w:tmpl w:val="FF2832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D28046F"/>
    <w:multiLevelType w:val="multilevel"/>
    <w:tmpl w:val="6840B7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2B70100"/>
    <w:multiLevelType w:val="multilevel"/>
    <w:tmpl w:val="2C7E23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3926E5B"/>
    <w:multiLevelType w:val="multilevel"/>
    <w:tmpl w:val="AE5EF8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69511AA"/>
    <w:multiLevelType w:val="hybridMultilevel"/>
    <w:tmpl w:val="555C0D2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714815254">
    <w:abstractNumId w:val="2"/>
  </w:num>
  <w:num w:numId="2" w16cid:durableId="1527792638">
    <w:abstractNumId w:val="1"/>
  </w:num>
  <w:num w:numId="3" w16cid:durableId="1778450722">
    <w:abstractNumId w:val="0"/>
  </w:num>
  <w:num w:numId="4" w16cid:durableId="1519463621">
    <w:abstractNumId w:val="3"/>
  </w:num>
  <w:num w:numId="5" w16cid:durableId="17554000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135"/>
    <w:rsid w:val="00045FAA"/>
    <w:rsid w:val="000B0242"/>
    <w:rsid w:val="000F4DA4"/>
    <w:rsid w:val="001B77F6"/>
    <w:rsid w:val="001D6EEF"/>
    <w:rsid w:val="002C3EFD"/>
    <w:rsid w:val="002F0E36"/>
    <w:rsid w:val="002F7AC0"/>
    <w:rsid w:val="003903DB"/>
    <w:rsid w:val="00415D40"/>
    <w:rsid w:val="00467F21"/>
    <w:rsid w:val="004C508D"/>
    <w:rsid w:val="004E6FAE"/>
    <w:rsid w:val="00562A30"/>
    <w:rsid w:val="00587663"/>
    <w:rsid w:val="005A716A"/>
    <w:rsid w:val="005F689E"/>
    <w:rsid w:val="006E1417"/>
    <w:rsid w:val="006F7581"/>
    <w:rsid w:val="007E23ED"/>
    <w:rsid w:val="007E34E3"/>
    <w:rsid w:val="009352E0"/>
    <w:rsid w:val="00951A40"/>
    <w:rsid w:val="009A374C"/>
    <w:rsid w:val="00A36C30"/>
    <w:rsid w:val="00AC7D09"/>
    <w:rsid w:val="00B35CAC"/>
    <w:rsid w:val="00B70997"/>
    <w:rsid w:val="00B86F33"/>
    <w:rsid w:val="00BC1574"/>
    <w:rsid w:val="00BD57DD"/>
    <w:rsid w:val="00C16213"/>
    <w:rsid w:val="00C46AC3"/>
    <w:rsid w:val="00C95E24"/>
    <w:rsid w:val="00C96F13"/>
    <w:rsid w:val="00CB38EF"/>
    <w:rsid w:val="00DA54D6"/>
    <w:rsid w:val="00DC5753"/>
    <w:rsid w:val="00DD1FF1"/>
    <w:rsid w:val="00E103F7"/>
    <w:rsid w:val="00E37333"/>
    <w:rsid w:val="00E70391"/>
    <w:rsid w:val="00F00135"/>
    <w:rsid w:val="00F34A57"/>
    <w:rsid w:val="00F73275"/>
    <w:rsid w:val="00FB1B61"/>
    <w:rsid w:val="00FC174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89FDB"/>
  <w15:chartTrackingRefBased/>
  <w15:docId w15:val="{3AAFC15C-5D85-204A-B37C-86DB505C4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0135"/>
    <w:pPr>
      <w:spacing w:after="0" w:line="240" w:lineRule="auto"/>
    </w:pPr>
    <w:rPr>
      <w:rFonts w:ascii="Liberation Serif" w:eastAsia="Liberation Serif" w:hAnsi="Liberation Serif" w:cs="Liberation Serif"/>
      <w:kern w:val="0"/>
      <w:lang w:val="fr" w:eastAsia="fr-FR"/>
      <w14:ligatures w14:val="none"/>
    </w:rPr>
  </w:style>
  <w:style w:type="paragraph" w:styleId="Titre1">
    <w:name w:val="heading 1"/>
    <w:basedOn w:val="Normal"/>
    <w:next w:val="Normal"/>
    <w:link w:val="Titre1Car"/>
    <w:uiPriority w:val="9"/>
    <w:qFormat/>
    <w:rsid w:val="00F001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F001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F00135"/>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F00135"/>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F00135"/>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F00135"/>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F00135"/>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F00135"/>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F00135"/>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00135"/>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F00135"/>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F00135"/>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F00135"/>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F00135"/>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F00135"/>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F00135"/>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F00135"/>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F00135"/>
    <w:rPr>
      <w:rFonts w:eastAsiaTheme="majorEastAsia" w:cstheme="majorBidi"/>
      <w:color w:val="272727" w:themeColor="text1" w:themeTint="D8"/>
    </w:rPr>
  </w:style>
  <w:style w:type="paragraph" w:styleId="Titre">
    <w:name w:val="Title"/>
    <w:basedOn w:val="Normal"/>
    <w:next w:val="Normal"/>
    <w:link w:val="TitreCar"/>
    <w:uiPriority w:val="10"/>
    <w:qFormat/>
    <w:rsid w:val="00F00135"/>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F00135"/>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F00135"/>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F00135"/>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F00135"/>
    <w:pPr>
      <w:spacing w:before="160"/>
      <w:jc w:val="center"/>
    </w:pPr>
    <w:rPr>
      <w:i/>
      <w:iCs/>
      <w:color w:val="404040" w:themeColor="text1" w:themeTint="BF"/>
    </w:rPr>
  </w:style>
  <w:style w:type="character" w:customStyle="1" w:styleId="CitationCar">
    <w:name w:val="Citation Car"/>
    <w:basedOn w:val="Policepardfaut"/>
    <w:link w:val="Citation"/>
    <w:uiPriority w:val="29"/>
    <w:rsid w:val="00F00135"/>
    <w:rPr>
      <w:i/>
      <w:iCs/>
      <w:color w:val="404040" w:themeColor="text1" w:themeTint="BF"/>
    </w:rPr>
  </w:style>
  <w:style w:type="paragraph" w:styleId="Paragraphedeliste">
    <w:name w:val="List Paragraph"/>
    <w:basedOn w:val="Normal"/>
    <w:uiPriority w:val="34"/>
    <w:qFormat/>
    <w:rsid w:val="00F00135"/>
    <w:pPr>
      <w:ind w:left="720"/>
      <w:contextualSpacing/>
    </w:pPr>
  </w:style>
  <w:style w:type="character" w:styleId="Accentuationintense">
    <w:name w:val="Intense Emphasis"/>
    <w:basedOn w:val="Policepardfaut"/>
    <w:uiPriority w:val="21"/>
    <w:qFormat/>
    <w:rsid w:val="00F00135"/>
    <w:rPr>
      <w:i/>
      <w:iCs/>
      <w:color w:val="0F4761" w:themeColor="accent1" w:themeShade="BF"/>
    </w:rPr>
  </w:style>
  <w:style w:type="paragraph" w:styleId="Citationintense">
    <w:name w:val="Intense Quote"/>
    <w:basedOn w:val="Normal"/>
    <w:next w:val="Normal"/>
    <w:link w:val="CitationintenseCar"/>
    <w:uiPriority w:val="30"/>
    <w:qFormat/>
    <w:rsid w:val="00F001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F00135"/>
    <w:rPr>
      <w:i/>
      <w:iCs/>
      <w:color w:val="0F4761" w:themeColor="accent1" w:themeShade="BF"/>
    </w:rPr>
  </w:style>
  <w:style w:type="character" w:styleId="Rfrenceintense">
    <w:name w:val="Intense Reference"/>
    <w:basedOn w:val="Policepardfaut"/>
    <w:uiPriority w:val="32"/>
    <w:qFormat/>
    <w:rsid w:val="00F00135"/>
    <w:rPr>
      <w:b/>
      <w:bCs/>
      <w:smallCaps/>
      <w:color w:val="0F4761" w:themeColor="accent1" w:themeShade="BF"/>
      <w:spacing w:val="5"/>
    </w:rPr>
  </w:style>
  <w:style w:type="character" w:styleId="Marquedecommentaire">
    <w:name w:val="annotation reference"/>
    <w:basedOn w:val="Policepardfaut"/>
    <w:uiPriority w:val="99"/>
    <w:semiHidden/>
    <w:unhideWhenUsed/>
    <w:rsid w:val="00F00135"/>
    <w:rPr>
      <w:sz w:val="16"/>
      <w:szCs w:val="16"/>
    </w:rPr>
  </w:style>
  <w:style w:type="paragraph" w:styleId="Commentaire">
    <w:name w:val="annotation text"/>
    <w:basedOn w:val="Normal"/>
    <w:link w:val="CommentaireCar"/>
    <w:uiPriority w:val="99"/>
    <w:semiHidden/>
    <w:unhideWhenUsed/>
    <w:rPr>
      <w:sz w:val="20"/>
      <w:szCs w:val="20"/>
    </w:rPr>
  </w:style>
  <w:style w:type="character" w:customStyle="1" w:styleId="CommentaireCar">
    <w:name w:val="Commentaire Car"/>
    <w:basedOn w:val="Policepardfaut"/>
    <w:link w:val="Commentaire"/>
    <w:uiPriority w:val="99"/>
    <w:semiHidden/>
    <w:rPr>
      <w:rFonts w:ascii="Liberation Serif" w:eastAsia="Liberation Serif" w:hAnsi="Liberation Serif" w:cs="Liberation Serif"/>
      <w:kern w:val="0"/>
      <w:sz w:val="20"/>
      <w:szCs w:val="20"/>
      <w:lang w:val="fr" w:eastAsia="fr-FR"/>
      <w14:ligatures w14:val="none"/>
    </w:rPr>
  </w:style>
  <w:style w:type="paragraph" w:styleId="Pieddepage">
    <w:name w:val="footer"/>
    <w:basedOn w:val="Normal"/>
    <w:link w:val="PieddepageCar"/>
    <w:uiPriority w:val="99"/>
    <w:unhideWhenUsed/>
    <w:rsid w:val="006F7581"/>
    <w:pPr>
      <w:tabs>
        <w:tab w:val="center" w:pos="4536"/>
        <w:tab w:val="right" w:pos="9072"/>
      </w:tabs>
    </w:pPr>
  </w:style>
  <w:style w:type="character" w:customStyle="1" w:styleId="PieddepageCar">
    <w:name w:val="Pied de page Car"/>
    <w:basedOn w:val="Policepardfaut"/>
    <w:link w:val="Pieddepage"/>
    <w:uiPriority w:val="99"/>
    <w:rsid w:val="006F7581"/>
    <w:rPr>
      <w:rFonts w:ascii="Liberation Serif" w:eastAsia="Liberation Serif" w:hAnsi="Liberation Serif" w:cs="Liberation Serif"/>
      <w:kern w:val="0"/>
      <w:lang w:val="fr" w:eastAsia="fr-FR"/>
      <w14:ligatures w14:val="none"/>
    </w:rPr>
  </w:style>
  <w:style w:type="character" w:styleId="Numrodepage">
    <w:name w:val="page number"/>
    <w:basedOn w:val="Policepardfaut"/>
    <w:uiPriority w:val="99"/>
    <w:semiHidden/>
    <w:unhideWhenUsed/>
    <w:rsid w:val="006F7581"/>
  </w:style>
  <w:style w:type="paragraph" w:styleId="Objetducommentaire">
    <w:name w:val="annotation subject"/>
    <w:basedOn w:val="Commentaire"/>
    <w:next w:val="Commentaire"/>
    <w:link w:val="ObjetducommentaireCar"/>
    <w:uiPriority w:val="99"/>
    <w:semiHidden/>
    <w:unhideWhenUsed/>
    <w:rsid w:val="00587663"/>
    <w:rPr>
      <w:b/>
      <w:bCs/>
    </w:rPr>
  </w:style>
  <w:style w:type="character" w:customStyle="1" w:styleId="ObjetducommentaireCar">
    <w:name w:val="Objet du commentaire Car"/>
    <w:basedOn w:val="CommentaireCar"/>
    <w:link w:val="Objetducommentaire"/>
    <w:uiPriority w:val="99"/>
    <w:semiHidden/>
    <w:rsid w:val="00587663"/>
    <w:rPr>
      <w:rFonts w:ascii="Liberation Serif" w:eastAsia="Liberation Serif" w:hAnsi="Liberation Serif" w:cs="Liberation Serif"/>
      <w:b/>
      <w:bCs/>
      <w:kern w:val="0"/>
      <w:sz w:val="20"/>
      <w:szCs w:val="20"/>
      <w:lang w:val="fr" w:eastAsia="fr-FR"/>
      <w14:ligatures w14:val="none"/>
    </w:rPr>
  </w:style>
  <w:style w:type="paragraph" w:styleId="En-tte">
    <w:name w:val="header"/>
    <w:basedOn w:val="Normal"/>
    <w:link w:val="En-tteCar"/>
    <w:uiPriority w:val="99"/>
    <w:unhideWhenUsed/>
    <w:rsid w:val="005F689E"/>
    <w:pPr>
      <w:tabs>
        <w:tab w:val="center" w:pos="4536"/>
        <w:tab w:val="right" w:pos="9072"/>
      </w:tabs>
    </w:pPr>
  </w:style>
  <w:style w:type="character" w:customStyle="1" w:styleId="En-tteCar">
    <w:name w:val="En-tête Car"/>
    <w:basedOn w:val="Policepardfaut"/>
    <w:link w:val="En-tte"/>
    <w:uiPriority w:val="99"/>
    <w:rsid w:val="005F689E"/>
    <w:rPr>
      <w:rFonts w:ascii="Liberation Serif" w:eastAsia="Liberation Serif" w:hAnsi="Liberation Serif" w:cs="Liberation Serif"/>
      <w:kern w:val="0"/>
      <w:lang w:val="fr"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ECD2CC-7339-4AA5-ABC8-57B0CF5981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2857</Words>
  <Characters>15717</Characters>
  <Application>Microsoft Office Word</Application>
  <DocSecurity>0</DocSecurity>
  <Lines>130</Lines>
  <Paragraphs>37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 pillouer Arnaud</dc:creator>
  <cp:keywords/>
  <dc:description/>
  <cp:lastModifiedBy>ctad</cp:lastModifiedBy>
  <cp:revision>4</cp:revision>
  <dcterms:created xsi:type="dcterms:W3CDTF">2026-06-09T19:38:00Z</dcterms:created>
  <dcterms:modified xsi:type="dcterms:W3CDTF">2026-09-04T14:14:00Z</dcterms:modified>
</cp:coreProperties>
</file>